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34A" w:rsidRPr="000D20CA" w:rsidRDefault="001C034A" w:rsidP="00557AAF">
      <w:pPr>
        <w:pStyle w:val="Heading1"/>
        <w:spacing w:before="0" w:beforeAutospacing="0" w:after="0" w:afterAutospacing="0"/>
        <w:jc w:val="center"/>
        <w:rPr>
          <w:sz w:val="28"/>
          <w:szCs w:val="28"/>
        </w:rPr>
      </w:pPr>
      <w:r w:rsidRPr="000D20CA">
        <w:rPr>
          <w:sz w:val="28"/>
          <w:szCs w:val="28"/>
        </w:rPr>
        <w:t>«Участие прокурора в рассмотрении гражданских дел по спорам о восстановлении на работе»</w:t>
      </w:r>
    </w:p>
    <w:p w:rsidR="001C034A" w:rsidRPr="000D20CA" w:rsidRDefault="001C034A" w:rsidP="000D20CA">
      <w:pPr>
        <w:pStyle w:val="Heading1"/>
        <w:spacing w:before="0" w:beforeAutospacing="0" w:after="0" w:afterAutospacing="0"/>
        <w:ind w:firstLine="851"/>
        <w:jc w:val="both"/>
        <w:rPr>
          <w:sz w:val="28"/>
          <w:szCs w:val="28"/>
        </w:rPr>
      </w:pPr>
      <w:bookmarkStart w:id="0" w:name="_GoBack"/>
      <w:bookmarkEnd w:id="0"/>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Участие прокурора в рассмотрении гражданских дел судами предусмотрено ст. 35 Федерального закона «О прокуратуре Российской Федерации», а также ст. 45 Гражданского процессуального кодекса РФ.</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Цель участия прокурора в гражданском процессе заключается в реализации государством принципа законности, эффективности и повышения уровня судопроизводства по наиболее сложным и общественно значимым делам.</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Согласно приказу Генерального прокурора РФ № 181 от 26.04.2012 года «Об обеспечении участия прокурора в гражданском процессе» участие прокуроров в гражданском процессе заключается в нескольких аспектах:</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обеспечение участия прокурора в суде при рассмотрении дел обязательной категории, в соответствии со ст. 45 ГПК РФ;</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участие в рассмотрении судами первой, апелляционной, кассационной и надзорной инстанций дел, возбужденных по искам (заявлениям) прокуроров в защиту прав, свобод и законных интересов лиц, указанных в ч. 1 ст. 45 ГПК РФ, неопределенного круга лиц, интересов Российской Федерации, субъектов Российской Федерации, муниципальных образований, в том числе по заявлениям и представлениям о пересмотре судебных постановлений по вновь открывшимся или новым обстоятельствам;</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прокурор, участвующий в деле обязан своевременно проверять в установленный законом срок судебные акты. В случае несогласия с вынесенным судебным постановлением прокурор вправе принести апелляционное представление на не вступившее в законную силу решение (определение) суда, а также кассационное и надзорное представление на вступившее в законную силу судебное постановление.</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прокурор также обязан рассматривать обращения о проверке вступивших в законную силу судебных актов по гражданским делам, в которых участвовал либо вправе был участвовать прокурор, от лиц, участвующих в деле, а также от лиц, не привлеченных к участию в деле, если суд принял решение об их правах и обязанностях.</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В соответствии со ст. 45 Гражданского процессуального кодекса РФ прокурор вступает в процесс и дает заключение по делам определенным законом, в том числе по гражданским делам о восстановлении на работе.</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Согласно ст. 391 Трудового кодекса РФ в судах общей юрисдикции рассматриваются индивидуальные трудовые споры по заявлениям работников, работодателя или профессионального союза, защищающего интересы работника, когда они не согласны с решением комиссии по трудовым спорам либо когда работник обращается в суд, минуя комиссию по трудовым спорам, а также по заявлению прокурора, если решение комиссии по трудовым спорам не соответствует законам или иным нормативно-правовым актам.</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Трудовые споры по заявлениям работника о восстановлении на работе независимо от оснований прекращения трудового договора, рассматриваются непосредственно в судах общей юрисдикции.</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В соответствии со ст. 392 Трудового кодекса РФ работник имеет право обратиться в суд с исковым заявлением о восстановлении на работе в течение одного месяца со дня вручения ему копии приказа об увольнении, либо со дня выдачи трудовой книжки.</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При рассмотрении требований о восстановлении на работе следует учитывать, что пропуск срока на обращение в суд не является основанием для отказа в принятии искового заявления и безусловного отказа в удовлетворении требований.</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Вопрос о пропуске срока на обращение в суд может разрешаться судом только по заявлению ответчика. При поступлении такого заявления в силу ст. 112 ГПК РФ истцу должно быть разъяснено право на обращение с ходатайством о восстановлении пропущенного срока. Пропущенный срок на обращение в суд может быть восстановлен в порядке ст. 112 Гражданского процессуального кодекса РФ при наличии уважительности причин такого пропуска. примерный перечень обстоятельств, которые могут расцениваться судом в качестве уважительных причин, воспрепятствовавших работнику своевременно обратиться с иском в суд за разрешением индивидуального трудового спора приведен в Постановлении Пленума Верховного Суда Российской Федерации от 17 марта 2004 года N 2 "О применении судами Российской Федерации Трудового кодекса Российской Федерации. Указанный перечень не является исчерпывающим, иные обстоятельства также могут быть признаны в качестве уважительных причин пропуска установленного срока на обращение в суд, и должны рассматриваться индивидуально, исходя из существа разрешаемого дела.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Вместе с тем, пропуск без уважительной причины срока исковой давности или срока обращения в суд, является самостоятельным основанием, в соответствии со ст. 199 ГК РФ, для отказа в удовлетворении заявленных требований.</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Статьей 28 ГПК РФ предусмотрено общее определение подсудности – предъявление иска по месту нахождения ответчика.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Вместе с тем, имеются исключения. Так, в соответствии со ст. 31 ГПК РФ иск к нескольким ответчикам, находящимся в разных местах, предъявляется по месту нахождения одного из ответчиков. При этом выбор суда при предъявлении иска к нескольким ответчикам принадлежит истцу.</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Кроме того, согласно п. 2 ст. 29 ГПК РФ иск к организации, вытекающий из деятельности ее филиала или представительства, может быть предъявлен также в суд по месту нахождения ее филиала или представительства.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В силу п. 9 ст. 29 ГПК РФ иски, вытекающие из договоров, в которых указано место их исполнения, могут быть предъявлены также в суд по месту исполнения такого договора.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Соответственно, если в трудовом договоре указано головное предприятие в г. Иркутске, а рабочее место работника, например в г.Черемхово, работник вправе подать иск о восстановлении на работе в Черемховский городской суд.</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Участие по делам обязательной категории, в соответствии с приказом ГП РФ № 181 от 26.04.2012 года «Об обеспечении участия прокуроров в гражданском процессе», предполагает исследование всех представленных доказательств и дачу заключения по всем заявленным требованиям. По делам о восстановлении на работе подлежат проверке наряду с законностью увольнения, правильность исчисления заработной платы подлежащей взысканию за время вынужденного прогула.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В 2013г. Куйбышевским районным судом рассмотрено более 30 гражданских дел о восстановлении на работе. В большинстве случаев увольнение производилось по инициативе работодателя в связи с сокращением численности или штата работников организации, вследствие неоднократного неисполнения работником без уважительных причин трудовых обязанностей, если он имел дисциплинарное взыскание, в связи с ликвидацией организации</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Незначительное количество исков о восстановлении на работе приходится на случаи увольнения в соответствии со ст. 77 ТК РФ в связи с расторжением трудового договора по инициативе работника; нарушении условий контракта и выслуге лет по Положению о службе в ОВД; по соглашению сторон; при неудовлетворительном результате испытания; вследствие однократного грубого нарушения работником трудовых обязанностей – прогула; по инициативе работника, а также в соответствии со ст. 278 ТК РФ, согласно которой трудовой договор с руководителем организации был расторгнут в связи с принятием уполномоченным органом юридического лица, либо собственником имущества организации, либо уполномоченным собственником лицом (органом) решения о прекращении трудового договора.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При рассмотрении споров, связанных с прекращением трудового договора по соглашению сторон (пункт 1 части первой статьи 77, статья 78 ТК РФ), необходимо учитывать, что при достижении соглашения между работником и работодателем трудовой договор, заключенный на неопределенный срок, или срочный трудовой договор может быть расторгнут в любое время в срок, определенный сторонами. Аннулирование условий соглашения относительно срока и основания увольнения возможно лишь при взаимном согласии сторон. Соответственно по соглашению сторон может быть расторгнут трудовой договор независимо от срока, на который он был заключен. При расторжении трудового договора по соглашению сторон законом не предусмотрено заблаговременное извещение другой стороны о намерении расторгнуть трудовой договор по данному основанию. По соглашению сторон трудовой договор подлежит расторжению в любой день, определяемый сторонами. Поэтому расторжение трудового договора по соглашению сторон часто применяется в случаях, когда стороны заинтересованы в незамедлительном прекращении трудовых отношений. Соглашение должно быть письменным. Письменная форма указанного соглашения сторон будет соблюдена если работник и работодатель, например, подпишут один документ (соглашение) либо работодатель на заявлении об увольнении поставит свою резолюцию.</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Статьей 80 ТК РФ закреплено неизменное право работника расторгнуть трудовые отношения с работодателем по собственному желанию. Порядок расторжения трудового договора предусматривает:</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1. Уведомление работодателя за 2 недели в письменной форме о расторжении трудового договора. Течение указанного срока начинается на следующий день после получения работодателем заявления работника об увольнении. Исключение составляют лишь работники, заключившие трудовой договор на срок до 2 месяцев, сезонные работники уведомляют работодателя об увольнении по собственному желанию за 3 дня; а работающие у работодателя – физического лица- в сроки, оговоренные в трудовом договоре.</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2 Возможность отзыва работником заявления об увольнении до истечении срока предупреждения. Увольнение в этом случае не производится, за исключением если на его место не приглашен в письменной форме другой работник, которому в соответствии с настоящим Кодексом и иными федеральными законами не может быть отказано в заключении трудового договора (прим. ч. 4 ст. 64 ТК РФ). Вместе с тем, при подаче заявления о предоставлении отпуска с последующим увольнением, заявление об увольнении работник вправе отозвать до начала отпуска. В период отпуска заявление об увольнении отозвано быть не может.</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3. Возможность расторжения трудового договора по соглашению между работником и работодателем до истечения срока предупреждения об увольнении. Если работодатель не дал согласия на расторжение трудового договора до истечения двух недельного срока предупреждения, работник обязан отработать установленный срок. Досрочное прекращение работы будет означать лишь нарушение трудовой дисциплины.</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4. Возможность увольнения до истечения двух недельного срока предупреждения об увольнении при невозможности продолжения работы (зачисление в образовательное учреждение, выход на пенсию и другие случаи);</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Распространенными являются споры в суде между работником, уволенным по собственному желанию и работодателем по вопросу законности увольнения в связи с отсутствием добровольности волеизъявления работника. При оценке такого увольнения суд учитывает, что в соответствии с п. 22 постановления Пленума ВС РФ N 2 от 17 марта 2004 г. «О применении судами РФ Трудового кодекса РФ» обязанность доказывания факта принуждения работодателем к увольнению по собственному желанию возлагается на работника.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Порядок расторжения трудового договора по инициативе работодателя определен статьей 81 ТК РФ. Необходимо отметить следующие основные нарушения, допущенные работодателями при увольнении работников:</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при увольнении в связи с ликвидацией организации имеют место случаи предупреждений работника под роспись менее чем за 2 мес. до увольнения (ч. 2 ст. 180 ТК). Не всегда служба занятости извещается в письменной форме, не позднее чем за 2 мес., а работодателем – индивидуальным предпринимателем не позднее чем за две недели до начала проведения соответствующих мероприятий. Уведомление профсоюзов и проведения с ними переговоров о соблюдении прав и интересов членов профсоюза в ряде случаев производится менее чем за 3 мес.</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при увольнении работника по сокращению штатов работодателем не всегда имеет место реальное сокращение численности или штата работников, в некоторых случаях должности, подпадающие под сокращение в полном объеме фактически не сокращаются. Наиболее часто нарушается ст. 179 ТК РФ (преимущественное право на оставление на работе при сокращении численности или штата работников). В нарушение ст. 180 ТК РФ уведомления о сокращении должностей, занятых как по основному месту работы, так и по внутреннему совместительству либо не направляются, либо направляются менее чем за 2 месяца до увольнения. Служба занятости населения при сокращении численности штатов уведомляется работодателями о предстоящем массовом увольнении сотрудников в нарушение установленного законом срока, т.е. менее чем за 3 и даже за 2 месяца. Не во всех случаях не менее чем за 2 мес., при массовом увольнении не менее чем за 3 мес. направляется сообщение в письменной форме выборному профсоюзному органу об увольнении (ч. 1 ст. 82 ТК РФ). Работодателем не всегда предлагаются все имеющиеся вакантные должности. Кроме того, имеют место случаи увольнения беременных женщин (ч. 1 ст. 261 ТК РФ), женщин, воспитывающих ребенка в возрасте до 3 лет (ч.4 ст. 261 ТК РФ), а также в период временной нетрудоспособности работника;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Кроме того, при увольнении наиболее часто в нарушение ст. 84.1 ТК РФ работников не знакомят с приказом об увольнении, задерживают выдачу трудовой книжки, не направляют уведомление о необходимости получить трудовую книжку либо дать согласие на направление ее по почте. Данные обстоятельства, как правило, влияют на срок обращения в суд за разрешением трудового спора.</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в нарушение ст.57 ТК РФ работодатели неправомерно оформляют трудовой договор как договор на оказание услуг.</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 встречаются случаи, когда ответчик, не имея на момент издания приказа об увольнении согласия истца на изменение даты увольнения в одностороннем порядке изменяет эту дату, вместе с тем ни законодательство, регулирующее труд сотрудников уголовно-исполнительной системы, ни ТК РФ не предоставляет работодателю право совершать юридически значимые действия, затрагивающие права и интересы работника, без его предварительного согласия после того, как трудовые отношения между работодателем и работником уже прекращены.</w:t>
      </w:r>
    </w:p>
    <w:p w:rsidR="001C034A" w:rsidRPr="000D20CA" w:rsidRDefault="001C034A" w:rsidP="000D20CA">
      <w:pPr>
        <w:pStyle w:val="NormalWeb"/>
        <w:spacing w:before="0" w:beforeAutospacing="0" w:after="0" w:afterAutospacing="0" w:line="270" w:lineRule="atLeast"/>
        <w:ind w:firstLine="851"/>
        <w:jc w:val="both"/>
        <w:rPr>
          <w:rFonts w:ascii="Helvetica" w:hAnsi="Helvetica" w:cs="Helvetica"/>
          <w:color w:val="68719F"/>
          <w:sz w:val="28"/>
          <w:szCs w:val="28"/>
        </w:rPr>
      </w:pPr>
      <w:r w:rsidRPr="000D20CA">
        <w:rPr>
          <w:rFonts w:ascii="HelveticaNeue-Light" w:hAnsi="HelveticaNeue-Light" w:cs="Helvetica"/>
          <w:color w:val="000000"/>
          <w:sz w:val="28"/>
          <w:szCs w:val="28"/>
        </w:rPr>
        <w:t>Прокурор наравне с другими лицами, участвующими в деле, вправе в соответствии со ст. ст. 320, 330 ГПК РФ обжаловать судебные акты по делам о восстановлении на работе не вступившие в законную силу.</w:t>
      </w:r>
    </w:p>
    <w:p w:rsidR="001C034A" w:rsidRDefault="001C034A"/>
    <w:p w:rsidR="001C034A" w:rsidRDefault="001C034A" w:rsidP="00464A18">
      <w:pPr>
        <w:spacing w:line="240" w:lineRule="exact"/>
        <w:jc w:val="both"/>
        <w:rPr>
          <w:rFonts w:ascii="Times New Roman" w:hAnsi="Times New Roman"/>
          <w:sz w:val="28"/>
          <w:szCs w:val="28"/>
          <w:lang w:eastAsia="ru-RU"/>
        </w:rPr>
      </w:pPr>
    </w:p>
    <w:p w:rsidR="001C034A" w:rsidRPr="006E1924" w:rsidRDefault="001C034A" w:rsidP="00464A18">
      <w:pPr>
        <w:spacing w:line="240" w:lineRule="exact"/>
        <w:jc w:val="both"/>
        <w:rPr>
          <w:rFonts w:ascii="Times New Roman" w:hAnsi="Times New Roman"/>
          <w:sz w:val="28"/>
          <w:szCs w:val="28"/>
          <w:lang w:eastAsia="ru-RU"/>
        </w:rPr>
      </w:pPr>
      <w:r w:rsidRPr="006E1924">
        <w:rPr>
          <w:rFonts w:ascii="Times New Roman" w:hAnsi="Times New Roman"/>
          <w:sz w:val="28"/>
          <w:szCs w:val="28"/>
          <w:lang w:eastAsia="ru-RU"/>
        </w:rPr>
        <w:t>Прокурор г</w:t>
      </w:r>
      <w:r>
        <w:rPr>
          <w:rFonts w:ascii="Times New Roman" w:hAnsi="Times New Roman"/>
          <w:sz w:val="28"/>
          <w:szCs w:val="28"/>
          <w:lang w:eastAsia="ru-RU"/>
        </w:rPr>
        <w:t>. Чапаевска</w:t>
      </w:r>
    </w:p>
    <w:p w:rsidR="001C034A" w:rsidRPr="006E1924" w:rsidRDefault="001C034A" w:rsidP="00464A18">
      <w:pPr>
        <w:spacing w:line="240" w:lineRule="exact"/>
        <w:jc w:val="both"/>
        <w:rPr>
          <w:rFonts w:ascii="Times New Roman" w:hAnsi="Times New Roman"/>
          <w:sz w:val="28"/>
          <w:szCs w:val="28"/>
        </w:rPr>
      </w:pPr>
      <w:r w:rsidRPr="006E1924">
        <w:rPr>
          <w:rFonts w:ascii="Times New Roman" w:hAnsi="Times New Roman"/>
          <w:sz w:val="28"/>
          <w:szCs w:val="28"/>
          <w:lang w:eastAsia="ru-RU"/>
        </w:rPr>
        <w:t>старший советник юстиции</w:t>
      </w:r>
      <w:r w:rsidRPr="006E1924">
        <w:rPr>
          <w:rFonts w:ascii="Times New Roman" w:hAnsi="Times New Roman"/>
          <w:sz w:val="28"/>
          <w:szCs w:val="28"/>
          <w:lang w:eastAsia="ru-RU"/>
        </w:rPr>
        <w:tab/>
        <w:t xml:space="preserve">     </w:t>
      </w:r>
      <w:r>
        <w:rPr>
          <w:rFonts w:ascii="Times New Roman" w:hAnsi="Times New Roman"/>
          <w:sz w:val="28"/>
          <w:szCs w:val="28"/>
          <w:lang w:eastAsia="ru-RU"/>
        </w:rPr>
        <w:t xml:space="preserve">                                                          </w:t>
      </w:r>
      <w:r w:rsidRPr="006E1924">
        <w:rPr>
          <w:rFonts w:ascii="Times New Roman" w:hAnsi="Times New Roman"/>
          <w:sz w:val="28"/>
          <w:szCs w:val="28"/>
          <w:lang w:eastAsia="ru-RU"/>
        </w:rPr>
        <w:t>А.В. Махов</w:t>
      </w:r>
    </w:p>
    <w:p w:rsidR="001C034A" w:rsidRPr="00A5341B" w:rsidRDefault="001C034A" w:rsidP="00464A18">
      <w:pPr>
        <w:widowControl w:val="0"/>
      </w:pPr>
    </w:p>
    <w:p w:rsidR="001C034A" w:rsidRDefault="001C034A" w:rsidP="00464A18">
      <w:pPr>
        <w:widowControl w:val="0"/>
      </w:pPr>
    </w:p>
    <w:p w:rsidR="001C034A" w:rsidRDefault="001C034A"/>
    <w:sectPr w:rsidR="001C034A" w:rsidSect="00B93F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Neue-Ligh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4A18"/>
    <w:rsid w:val="000D20CA"/>
    <w:rsid w:val="001C034A"/>
    <w:rsid w:val="001C6A4C"/>
    <w:rsid w:val="00464A18"/>
    <w:rsid w:val="00557AAF"/>
    <w:rsid w:val="006E1924"/>
    <w:rsid w:val="00A5341B"/>
    <w:rsid w:val="00B80193"/>
    <w:rsid w:val="00B93F64"/>
    <w:rsid w:val="00DE5A32"/>
    <w:rsid w:val="00E9578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A18"/>
    <w:pPr>
      <w:spacing w:after="200" w:line="276" w:lineRule="auto"/>
    </w:pPr>
    <w:rPr>
      <w:lang w:eastAsia="en-US"/>
    </w:rPr>
  </w:style>
  <w:style w:type="paragraph" w:styleId="Heading1">
    <w:name w:val="heading 1"/>
    <w:basedOn w:val="Normal"/>
    <w:link w:val="Heading1Char"/>
    <w:uiPriority w:val="99"/>
    <w:qFormat/>
    <w:rsid w:val="000D20CA"/>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D20CA"/>
    <w:rPr>
      <w:rFonts w:ascii="Times New Roman" w:hAnsi="Times New Roman" w:cs="Times New Roman"/>
      <w:b/>
      <w:bCs/>
      <w:kern w:val="36"/>
      <w:sz w:val="48"/>
      <w:szCs w:val="48"/>
      <w:lang w:eastAsia="ru-RU"/>
    </w:rPr>
  </w:style>
  <w:style w:type="paragraph" w:styleId="PlainText">
    <w:name w:val="Plain Text"/>
    <w:basedOn w:val="Normal"/>
    <w:link w:val="PlainTextChar"/>
    <w:uiPriority w:val="99"/>
    <w:semiHidden/>
    <w:rsid w:val="00464A18"/>
    <w:pPr>
      <w:spacing w:after="0" w:line="240" w:lineRule="auto"/>
    </w:pPr>
    <w:rPr>
      <w:szCs w:val="21"/>
    </w:rPr>
  </w:style>
  <w:style w:type="character" w:customStyle="1" w:styleId="PlainTextChar">
    <w:name w:val="Plain Text Char"/>
    <w:basedOn w:val="DefaultParagraphFont"/>
    <w:link w:val="PlainText"/>
    <w:uiPriority w:val="99"/>
    <w:semiHidden/>
    <w:locked/>
    <w:rsid w:val="00464A18"/>
    <w:rPr>
      <w:rFonts w:ascii="Calibri" w:hAnsi="Calibri" w:cs="Times New Roman"/>
      <w:sz w:val="21"/>
      <w:szCs w:val="21"/>
    </w:rPr>
  </w:style>
  <w:style w:type="paragraph" w:styleId="NormalWeb">
    <w:name w:val="Normal (Web)"/>
    <w:basedOn w:val="Normal"/>
    <w:uiPriority w:val="99"/>
    <w:semiHidden/>
    <w:rsid w:val="000D20CA"/>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6</Pages>
  <Words>2111</Words>
  <Characters>12037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user016008</dc:creator>
  <cp:keywords/>
  <dc:description/>
  <cp:lastModifiedBy>VPY</cp:lastModifiedBy>
  <cp:revision>4</cp:revision>
  <cp:lastPrinted>2015-01-26T08:36:00Z</cp:lastPrinted>
  <dcterms:created xsi:type="dcterms:W3CDTF">2015-01-26T08:30:00Z</dcterms:created>
  <dcterms:modified xsi:type="dcterms:W3CDTF">2015-07-15T10:17:00Z</dcterms:modified>
</cp:coreProperties>
</file>